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7" w:rsidRPr="008B2F54" w:rsidRDefault="008B0D97" w:rsidP="008B0D9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8B0D97" w:rsidRPr="008B2F54" w:rsidRDefault="008B0D97" w:rsidP="008B0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60"/>
      <w:bookmarkEnd w:id="0"/>
      <w:proofErr w:type="spellStart"/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Винниківська</w:t>
      </w:r>
      <w:proofErr w:type="spellEnd"/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міська територіальна громада</w:t>
      </w:r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" w:name="n61"/>
      <w:bookmarkEnd w:id="1"/>
      <w:r w:rsidR="008B2F54"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Потенційний а</w:t>
      </w:r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дміністративний центр – м</w:t>
      </w:r>
      <w:r w:rsidR="008B2F54"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Винники</w:t>
      </w:r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6611"/>
        <w:gridCol w:w="2543"/>
      </w:tblGrid>
      <w:tr w:rsidR="008B0D97" w:rsidRPr="008B2F54" w:rsidTr="008B0D97">
        <w:tc>
          <w:tcPr>
            <w:tcW w:w="7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n62"/>
            <w:bookmarkEnd w:id="2"/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показника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 показника</w:t>
            </w:r>
          </w:p>
        </w:tc>
      </w:tr>
      <w:tr w:rsidR="008B0D97" w:rsidRPr="008B2F54" w:rsidTr="008B0D97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D7564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населення станом на 1 січня 201</w:t>
            </w:r>
            <w:r w:rsidR="00D75641"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16 790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 дітей: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дошкільного віку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1 457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шкільного віку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942C9C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2 130</w:t>
            </w:r>
          </w:p>
        </w:tc>
      </w:tr>
      <w:tr w:rsidR="008B0D97" w:rsidRPr="008B2F54" w:rsidTr="008B0D9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B0D97" w:rsidRPr="008B2F54" w:rsidTr="008B0D97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доходів (розрахунковий) спроможної територіальної громади, гривень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5612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53 783 100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сформованих відповідно до </w:t>
            </w:r>
            <w:hyperlink r:id="rId5" w:anchor="n1015" w:tgtFrame="_blank" w:history="1">
              <w:r w:rsidRPr="008B2F54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uk-UA"/>
                </w:rPr>
                <w:t>статті 64</w:t>
              </w:r>
            </w:hyperlink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Бюджетного кодексу України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5612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 </w:t>
            </w:r>
            <w:r w:rsidR="000D4848"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402 300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бюджету розвитку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5612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15 243 000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базової дотації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5612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10 138 100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реверсної дотації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0D4848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651, 5 га</w:t>
            </w:r>
          </w:p>
        </w:tc>
      </w:tr>
      <w:tr w:rsidR="008B0D97" w:rsidRPr="008B2F54" w:rsidTr="008B0D97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5612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22 008 801, 35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I-III ступеня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942C9C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11 629 438, 3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I-II ступеня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942C9C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 ступеня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дошкільних навчальних закладів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942C9C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2 145 448, 85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позашкільної освіти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5612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7 828 320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культури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942C9C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405 594, 20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фізичної культури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фельдшерсько-акушерських пунктів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амбулаторій, поліклінік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660DEF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лікарень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942C9C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станцій швидкої допомоги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D75641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8B0D97" w:rsidRPr="008B2F54" w:rsidTr="008B0D97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правоохоронної діяльності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 актів цивільного стану та майнових прав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пенсійного забезпечення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соціального захисту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пожежної безпеки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  <w:tr w:rsidR="008B0D97" w:rsidRPr="008B2F54" w:rsidTr="008B0D9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D97" w:rsidRPr="008B2F54" w:rsidRDefault="008B0D97" w:rsidP="008B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казначейського обслуговування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  <w:tr w:rsidR="008B0D97" w:rsidRPr="008B2F54" w:rsidTr="008B0D9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D97" w:rsidRPr="008B2F54" w:rsidRDefault="008B2F54" w:rsidP="007242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</w:p>
        </w:tc>
      </w:tr>
    </w:tbl>
    <w:p w:rsidR="008B2F54" w:rsidRDefault="008B2F54" w:rsidP="008B0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63"/>
      <w:bookmarkEnd w:id="3"/>
    </w:p>
    <w:p w:rsidR="008B2F54" w:rsidRDefault="008B2F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8B0D97" w:rsidRPr="008B2F54" w:rsidRDefault="008B0D97" w:rsidP="008B0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2F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Відомості про територіальні громади, що увійдуть до складу спроможної територіальної громади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9"/>
        <w:gridCol w:w="3114"/>
        <w:gridCol w:w="2192"/>
        <w:gridCol w:w="2614"/>
      </w:tblGrid>
      <w:tr w:rsidR="008B0D97" w:rsidRPr="008B2F54" w:rsidTr="008B0D97"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4" w:name="n64"/>
            <w:bookmarkEnd w:id="4"/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Порядковий номер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D97" w:rsidRPr="008B2F54" w:rsidRDefault="008B0D97" w:rsidP="00D7564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населення станом на 1 січня 201</w:t>
            </w:r>
            <w:r w:rsidR="00D75641"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D97" w:rsidRPr="008B2F54" w:rsidRDefault="008B0D97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2F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8B2F54" w:rsidRPr="008B2F54" w:rsidTr="008B0D97"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2F54" w:rsidRPr="008B2F54" w:rsidRDefault="008B2F54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54" w:rsidRDefault="008B2F54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Винниківська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міська рада</w:t>
            </w:r>
          </w:p>
          <w:p w:rsidR="008B2F54" w:rsidRPr="008B2F54" w:rsidRDefault="008B2F54" w:rsidP="008B2F5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місто Винники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54" w:rsidRDefault="008B2F54" w:rsidP="00D7564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B2F54" w:rsidRPr="008B2F54" w:rsidRDefault="008B2F54" w:rsidP="00D7564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16 790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2F54" w:rsidRPr="008B2F54" w:rsidRDefault="008B2F54" w:rsidP="008B0D9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B2F54" w:rsidRDefault="008B2F54">
      <w:pPr>
        <w:rPr>
          <w:rFonts w:ascii="Times New Roman" w:hAnsi="Times New Roman" w:cs="Times New Roman"/>
          <w:sz w:val="28"/>
          <w:szCs w:val="28"/>
        </w:rPr>
      </w:pPr>
    </w:p>
    <w:p w:rsidR="000D4848" w:rsidRPr="008B2F54" w:rsidRDefault="000D4848">
      <w:pPr>
        <w:rPr>
          <w:rFonts w:ascii="Times New Roman" w:hAnsi="Times New Roman" w:cs="Times New Roman"/>
          <w:sz w:val="28"/>
          <w:szCs w:val="28"/>
        </w:rPr>
      </w:pPr>
      <w:r w:rsidRPr="008B2F54">
        <w:rPr>
          <w:rFonts w:ascii="Times New Roman" w:hAnsi="Times New Roman" w:cs="Times New Roman"/>
          <w:sz w:val="28"/>
          <w:szCs w:val="28"/>
        </w:rPr>
        <w:t xml:space="preserve">* - 24.12.2015 року </w:t>
      </w:r>
      <w:proofErr w:type="spellStart"/>
      <w:r w:rsidRPr="008B2F54">
        <w:rPr>
          <w:rFonts w:ascii="Times New Roman" w:hAnsi="Times New Roman" w:cs="Times New Roman"/>
          <w:sz w:val="28"/>
          <w:szCs w:val="28"/>
        </w:rPr>
        <w:t>Винниківською</w:t>
      </w:r>
      <w:proofErr w:type="spellEnd"/>
      <w:r w:rsidRPr="008B2F54">
        <w:rPr>
          <w:rFonts w:ascii="Times New Roman" w:hAnsi="Times New Roman" w:cs="Times New Roman"/>
          <w:sz w:val="28"/>
          <w:szCs w:val="28"/>
        </w:rPr>
        <w:t xml:space="preserve"> міською радою прийнято рішення № 108 «</w:t>
      </w:r>
      <w:hyperlink r:id="rId6" w:history="1">
        <w:r w:rsidRPr="008B2F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звернення до Львівської обласної ради та до народних депутатів України </w:t>
        </w:r>
        <w:proofErr w:type="spellStart"/>
        <w:r w:rsidRPr="008B2F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Юринець</w:t>
        </w:r>
        <w:proofErr w:type="spellEnd"/>
        <w:r w:rsidRPr="008B2F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Оксани Василівни та </w:t>
        </w:r>
        <w:proofErr w:type="spellStart"/>
        <w:r w:rsidRPr="008B2F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Добродомова</w:t>
        </w:r>
        <w:proofErr w:type="spellEnd"/>
        <w:r w:rsidRPr="008B2F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Дмитра Євгеновича про підтримання у Верховній Раді України пропозиції щодо віднесення міста Винники Львівської області до категорії міст обласного значення</w:t>
        </w:r>
      </w:hyperlink>
      <w:r w:rsidRPr="008B2F54">
        <w:rPr>
          <w:rFonts w:ascii="Times New Roman" w:hAnsi="Times New Roman" w:cs="Times New Roman"/>
          <w:sz w:val="28"/>
          <w:szCs w:val="28"/>
        </w:rPr>
        <w:t xml:space="preserve">». </w:t>
      </w:r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8B2F54">
        <w:rPr>
          <w:rFonts w:ascii="Times New Roman" w:hAnsi="Times New Roman" w:cs="Times New Roman"/>
          <w:sz w:val="28"/>
          <w:szCs w:val="28"/>
        </w:rPr>
        <w:t>,</w:t>
      </w:r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Львівська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обласна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прийняла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B2F5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B2F5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№154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29.03.2016 року  «Про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віднесення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Винники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». На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віднесення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Винники до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gramStart"/>
      <w:r w:rsidRPr="008B2F54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розгляді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Верховній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8B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2F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B2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2F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848" w:rsidRPr="008B2F54" w:rsidSect="002B7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D97"/>
    <w:rsid w:val="000D4848"/>
    <w:rsid w:val="002B7F4B"/>
    <w:rsid w:val="002E4568"/>
    <w:rsid w:val="00330197"/>
    <w:rsid w:val="00356C12"/>
    <w:rsid w:val="003C5C84"/>
    <w:rsid w:val="00660DEF"/>
    <w:rsid w:val="007242BF"/>
    <w:rsid w:val="007D1D43"/>
    <w:rsid w:val="00887F8C"/>
    <w:rsid w:val="008B0D97"/>
    <w:rsid w:val="008B2F54"/>
    <w:rsid w:val="008B5612"/>
    <w:rsid w:val="00933156"/>
    <w:rsid w:val="00942C9C"/>
    <w:rsid w:val="00CC0860"/>
    <w:rsid w:val="00D67668"/>
    <w:rsid w:val="00D75641"/>
    <w:rsid w:val="00D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B0D97"/>
  </w:style>
  <w:style w:type="paragraph" w:customStyle="1" w:styleId="rvps7">
    <w:name w:val="rvps7"/>
    <w:basedOn w:val="a"/>
    <w:rsid w:val="008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B0D97"/>
  </w:style>
  <w:style w:type="character" w:customStyle="1" w:styleId="rvts82">
    <w:name w:val="rvts82"/>
    <w:basedOn w:val="a0"/>
    <w:rsid w:val="008B0D97"/>
  </w:style>
  <w:style w:type="paragraph" w:customStyle="1" w:styleId="rvps14">
    <w:name w:val="rvps14"/>
    <w:basedOn w:val="a"/>
    <w:rsid w:val="008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8B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ynnyky-rada.gov.ua/wp-content/uploads/2016/01/2015_12_24_RishVMR_108.docx" TargetMode="External"/><Relationship Id="rId5" Type="http://schemas.openxmlformats.org/officeDocument/2006/relationships/hyperlink" Target="http://zakon3.rada.gov.ua/laws/show/2456-17/paran1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2A71-545D-4BE8-84F2-3809C4ED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Loda</cp:lastModifiedBy>
  <cp:revision>10</cp:revision>
  <cp:lastPrinted>2016-09-14T15:09:00Z</cp:lastPrinted>
  <dcterms:created xsi:type="dcterms:W3CDTF">2016-09-09T07:45:00Z</dcterms:created>
  <dcterms:modified xsi:type="dcterms:W3CDTF">2016-09-15T16:51:00Z</dcterms:modified>
</cp:coreProperties>
</file>